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4B7D5E" w:rsidRDefault="004B7D5E" w:rsidP="004B7D5E">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4B7D5E" w:rsidRDefault="00BB6331" w:rsidP="00BB6331">
      <w:pPr>
        <w:rPr>
          <w:rFonts w:hint="eastAsia"/>
        </w:rPr>
      </w:pPr>
    </w:p>
    <w:p w:rsidR="00AC110B" w:rsidRDefault="00AC110B" w:rsidP="00AC110B">
      <w:pPr>
        <w:rPr>
          <w:rFonts w:hint="eastAsia"/>
        </w:rPr>
      </w:pPr>
      <w:r>
        <w:rPr>
          <w:rFonts w:hint="eastAsia"/>
        </w:rPr>
        <w:t>（自ら開設する取引所金融商品市場への上場の承認）</w:t>
      </w:r>
    </w:p>
    <w:p w:rsidR="00AC110B" w:rsidRDefault="00AC110B" w:rsidP="00B32518">
      <w:pPr>
        <w:ind w:left="178" w:hangingChars="85" w:hanging="178"/>
        <w:rPr>
          <w:rFonts w:hint="eastAsia"/>
        </w:rPr>
      </w:pPr>
      <w:r>
        <w:rPr>
          <w:rFonts w:hint="eastAsia"/>
        </w:rPr>
        <w:t>第百二十四条　第百二十一条の規定にかかわらず、金融商品取引所は、次に掲げる者が発行者である有価証券をその売買のため、又は当該有価証券、当該有価証券に係る金融指標若しくは当該有価証券に係るオプションを市場デリバティブ取引のためにその開設する取引所金融商品市場に上場しようとする場合には、その上場しようとする取引所金融商品市場ごとに、その都度、その上場について、内閣総理大臣の承認を受けなければならない。ただし、次条の規定による命令に基づき上場する場合は、この限りでない。</w:t>
      </w:r>
    </w:p>
    <w:p w:rsidR="00AC110B" w:rsidRDefault="00AC110B" w:rsidP="00B32518">
      <w:pPr>
        <w:ind w:leftChars="86" w:left="359" w:hangingChars="85" w:hanging="178"/>
        <w:rPr>
          <w:rFonts w:hint="eastAsia"/>
        </w:rPr>
      </w:pPr>
      <w:r>
        <w:rPr>
          <w:rFonts w:hint="eastAsia"/>
        </w:rPr>
        <w:t>一　当該金融商品取引所</w:t>
      </w:r>
    </w:p>
    <w:p w:rsidR="00AC110B" w:rsidRDefault="00AC110B" w:rsidP="00B32518">
      <w:pPr>
        <w:ind w:leftChars="86" w:left="359" w:hangingChars="85" w:hanging="178"/>
        <w:rPr>
          <w:rFonts w:hint="eastAsia"/>
        </w:rPr>
      </w:pPr>
      <w:r>
        <w:rPr>
          <w:rFonts w:hint="eastAsia"/>
        </w:rPr>
        <w:t>二　当該金融商品取引所を子会社とする金融商品取引所持株会社</w:t>
      </w:r>
    </w:p>
    <w:p w:rsidR="00AC110B" w:rsidRDefault="00AC110B" w:rsidP="00B32518">
      <w:pPr>
        <w:ind w:leftChars="86" w:left="359" w:hangingChars="85" w:hanging="178"/>
        <w:rPr>
          <w:rFonts w:hint="eastAsia"/>
        </w:rPr>
      </w:pPr>
      <w:r>
        <w:rPr>
          <w:rFonts w:hint="eastAsia"/>
        </w:rPr>
        <w:t>三　当該金融商品取引所の総株主の議決権の百分の五十を超える対象議決権を保有する株式会社金融商品取引所</w:t>
      </w:r>
    </w:p>
    <w:p w:rsidR="00AC110B" w:rsidRDefault="00AC110B" w:rsidP="00B32518">
      <w:pPr>
        <w:ind w:leftChars="86" w:left="359" w:hangingChars="85" w:hanging="178"/>
        <w:rPr>
          <w:rFonts w:hint="eastAsia"/>
        </w:rPr>
      </w:pPr>
      <w:r>
        <w:rPr>
          <w:rFonts w:hint="eastAsia"/>
        </w:rPr>
        <w:t>四　当該金融商品取引所の子会社である金融商品取引所又は金融商品取引所持株会社</w:t>
      </w:r>
      <w:r>
        <w:rPr>
          <w:rFonts w:hint="eastAsia"/>
        </w:rPr>
        <w:t xml:space="preserve"> </w:t>
      </w:r>
    </w:p>
    <w:p w:rsidR="00AC110B" w:rsidRDefault="00AC110B" w:rsidP="00B32518">
      <w:pPr>
        <w:ind w:left="178" w:hangingChars="85" w:hanging="178"/>
        <w:rPr>
          <w:rFonts w:hint="eastAsia"/>
        </w:rPr>
      </w:pPr>
      <w:r>
        <w:rPr>
          <w:rFonts w:hint="eastAsia"/>
        </w:rPr>
        <w:t>２　内閣総理大臣は、前項の承認の申請があつた場合においては、当該申請が次の各号のいずれかに該当すると認めるときは、同項の承認をしてはならない。</w:t>
      </w:r>
    </w:p>
    <w:p w:rsidR="00AC110B" w:rsidRDefault="00AC110B" w:rsidP="00B32518">
      <w:pPr>
        <w:ind w:leftChars="86" w:left="359" w:hangingChars="85" w:hanging="178"/>
        <w:rPr>
          <w:rFonts w:hint="eastAsia"/>
        </w:rPr>
      </w:pPr>
      <w:r>
        <w:rPr>
          <w:rFonts w:hint="eastAsia"/>
        </w:rPr>
        <w:t>一　当該申請に係る上場が当該金融商品取引所若しくはその子会社である金融商品取引所又は当該金融商品取引所の総株主の議決権の百分の五十を超える対象議決権を保有する株式会社金融商品取引所の業務の健全かつ適切な運営を損なうおそれがあること。</w:t>
      </w:r>
    </w:p>
    <w:p w:rsidR="00AC110B" w:rsidRDefault="00AC110B" w:rsidP="00B32518">
      <w:pPr>
        <w:ind w:leftChars="86" w:left="359" w:hangingChars="85" w:hanging="178"/>
        <w:rPr>
          <w:rFonts w:hint="eastAsia"/>
        </w:rPr>
      </w:pPr>
      <w:r>
        <w:rPr>
          <w:rFonts w:hint="eastAsia"/>
        </w:rPr>
        <w:t>二　当該申請に係る上場に関し、当該取引所金融商品市場における取引の公正が確保されていないこと。</w:t>
      </w:r>
    </w:p>
    <w:p w:rsidR="00AC110B" w:rsidRDefault="00AC110B" w:rsidP="00B32518">
      <w:pPr>
        <w:ind w:left="178" w:hangingChars="85" w:hanging="178"/>
        <w:rPr>
          <w:rFonts w:hint="eastAsia"/>
        </w:rPr>
      </w:pPr>
      <w:r>
        <w:rPr>
          <w:rFonts w:hint="eastAsia"/>
        </w:rPr>
        <w:t>３　第百二十一条の規定にかかわらず、金融商品取引所は、次に掲げる者が発行者である有価証券をその売買のため、又は当該有価証券、当該有価証券に係る金融指標若しくは当該有価証券に係るオプションを市場デリバティブ取引のためにその開設する取引所金融商品市場に上場しようとする場合には、その上場しようとする取引所金融商品市場ごとに、その都度、その上場について、内閣総理大臣の承認を受けなければならない。ただし、次条の規定による命令に基づき上場する場合は、この限りでない。</w:t>
      </w:r>
    </w:p>
    <w:p w:rsidR="00AC110B" w:rsidRDefault="00AC110B" w:rsidP="00B32518">
      <w:pPr>
        <w:ind w:leftChars="86" w:left="359" w:hangingChars="85" w:hanging="178"/>
        <w:rPr>
          <w:rFonts w:hint="eastAsia"/>
        </w:rPr>
      </w:pPr>
      <w:r>
        <w:rPr>
          <w:rFonts w:hint="eastAsia"/>
        </w:rPr>
        <w:t>一　当該金融商品取引所の主要株主（第百六条の三第一項の認可又は第百六条の十七第一項の認可を受けた者をいう。）</w:t>
      </w:r>
    </w:p>
    <w:p w:rsidR="00AC110B" w:rsidRDefault="00AC110B" w:rsidP="00B32518">
      <w:pPr>
        <w:ind w:leftChars="86" w:left="359" w:hangingChars="85" w:hanging="178"/>
        <w:rPr>
          <w:rFonts w:hint="eastAsia"/>
        </w:rPr>
      </w:pPr>
      <w:r>
        <w:rPr>
          <w:rFonts w:hint="eastAsia"/>
        </w:rPr>
        <w:t>二　当該金融商品取引所の子会社（当該子会社が金融商品取引所又は金融商品取引所持株会社である場合を除く。）</w:t>
      </w:r>
    </w:p>
    <w:p w:rsidR="00BB6331" w:rsidRDefault="00AC110B" w:rsidP="00B32518">
      <w:pPr>
        <w:ind w:left="178" w:hangingChars="85" w:hanging="178"/>
        <w:rPr>
          <w:rFonts w:hint="eastAsia"/>
        </w:rPr>
      </w:pPr>
      <w:r>
        <w:rPr>
          <w:rFonts w:hint="eastAsia"/>
        </w:rPr>
        <w:t>４　内閣総理大臣は、前項の承認の申請があつた場合においては、当該申請に係る上場に関し、当該取引所金融商品市場における取引の公正が確保されていないと認めるときは、同項の承認をしてはならない。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FB20F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FB20F8">
        <w:tab/>
      </w:r>
      <w:r w:rsidR="00FB20F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FB20F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FB20F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FB20F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FB20F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FB20F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FB20F8">
        <w:rPr>
          <w:rFonts w:hint="eastAsia"/>
        </w:rPr>
        <w:t>（改正なし）</w:t>
      </w:r>
    </w:p>
    <w:p w:rsidR="00A61C0E" w:rsidRDefault="00A61C0E" w:rsidP="00A61C0E">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B32518">
        <w:tab/>
      </w:r>
      <w:r w:rsidR="00B32518">
        <w:rPr>
          <w:rFonts w:hint="eastAsia"/>
        </w:rPr>
        <w:t>（改正なし）</w:t>
      </w:r>
    </w:p>
    <w:p w:rsidR="00A61C0E" w:rsidRDefault="00BB6331" w:rsidP="00A61C0E">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A61C0E" w:rsidRDefault="00A61C0E" w:rsidP="00A61C0E"/>
    <w:p w:rsidR="00A61C0E" w:rsidRDefault="00A61C0E" w:rsidP="00A61C0E">
      <w:r>
        <w:rPr>
          <w:rFonts w:hint="eastAsia"/>
        </w:rPr>
        <w:t>（改正後）</w:t>
      </w:r>
    </w:p>
    <w:p w:rsidR="00A61C0E" w:rsidRDefault="00A61C0E" w:rsidP="00A61C0E">
      <w:pPr>
        <w:rPr>
          <w:rFonts w:hint="eastAsia"/>
        </w:rPr>
      </w:pPr>
      <w:r>
        <w:rPr>
          <w:rFonts w:hint="eastAsia"/>
        </w:rPr>
        <w:t>（自ら開設する取引所金融商品市場への上場の承認）</w:t>
      </w:r>
    </w:p>
    <w:p w:rsidR="00A61C0E" w:rsidRDefault="00A61C0E" w:rsidP="00A61C0E">
      <w:pPr>
        <w:ind w:left="178" w:hangingChars="85" w:hanging="178"/>
        <w:rPr>
          <w:rFonts w:hint="eastAsia"/>
        </w:rPr>
      </w:pPr>
      <w:r>
        <w:rPr>
          <w:rFonts w:hint="eastAsia"/>
        </w:rPr>
        <w:t>第百二十四条　第百二十一条の規定にかかわらず、金融商品取引所は、次に掲げる者が発行者である有価証券をその売買のため、又は当該有価証券、当該有価証券に係る金融指標若しくは当該有価証券に係るオプションを市場デリバティブ取引のためにその開設する取引所金融商品市場に上場しようとする場合には、その上場しようとする取引所金融商品市場ごとに、その都度、その上場について、内閣総理大臣の承認を受けなければならない。ただし、次条の規定による命令に基づき上場する場合は、この限りでない。</w:t>
      </w:r>
    </w:p>
    <w:p w:rsidR="00A61C0E" w:rsidRDefault="00A61C0E" w:rsidP="00A61C0E">
      <w:pPr>
        <w:ind w:leftChars="86" w:left="359" w:hangingChars="85" w:hanging="178"/>
        <w:rPr>
          <w:rFonts w:hint="eastAsia"/>
        </w:rPr>
      </w:pPr>
      <w:r>
        <w:rPr>
          <w:rFonts w:hint="eastAsia"/>
        </w:rPr>
        <w:t>一　当該金融商品取引所</w:t>
      </w:r>
    </w:p>
    <w:p w:rsidR="00A61C0E" w:rsidRDefault="00A61C0E" w:rsidP="00A61C0E">
      <w:pPr>
        <w:ind w:leftChars="86" w:left="359" w:hangingChars="85" w:hanging="178"/>
        <w:rPr>
          <w:rFonts w:hint="eastAsia"/>
        </w:rPr>
      </w:pPr>
      <w:r>
        <w:rPr>
          <w:rFonts w:hint="eastAsia"/>
        </w:rPr>
        <w:t>二　当該金融商品取引所を子会社とする金融商品取引所持株会社</w:t>
      </w:r>
    </w:p>
    <w:p w:rsidR="00A61C0E" w:rsidRDefault="00A61C0E" w:rsidP="00A61C0E">
      <w:pPr>
        <w:ind w:leftChars="86" w:left="359" w:hangingChars="85" w:hanging="178"/>
        <w:rPr>
          <w:rFonts w:hint="eastAsia"/>
        </w:rPr>
      </w:pPr>
      <w:r>
        <w:rPr>
          <w:rFonts w:hint="eastAsia"/>
        </w:rPr>
        <w:t>三　当該金融商品取引所の総株主の議決権の百分の五十を超える対象議決権を保有する株式会社金融商品取引所</w:t>
      </w:r>
    </w:p>
    <w:p w:rsidR="00A61C0E" w:rsidRDefault="00A61C0E" w:rsidP="00A61C0E">
      <w:pPr>
        <w:ind w:leftChars="86" w:left="359" w:hangingChars="85" w:hanging="178"/>
        <w:rPr>
          <w:rFonts w:hint="eastAsia"/>
        </w:rPr>
      </w:pPr>
      <w:r>
        <w:rPr>
          <w:rFonts w:hint="eastAsia"/>
        </w:rPr>
        <w:t>四　当該金融商品取引所の子会社である金融商品取引所又は金融商品取引所持株会社</w:t>
      </w:r>
    </w:p>
    <w:p w:rsidR="00A61C0E" w:rsidRDefault="00A61C0E" w:rsidP="00A61C0E">
      <w:pPr>
        <w:ind w:left="178" w:hangingChars="85" w:hanging="178"/>
        <w:rPr>
          <w:rFonts w:hint="eastAsia"/>
        </w:rPr>
      </w:pPr>
      <w:r>
        <w:rPr>
          <w:rFonts w:hint="eastAsia"/>
        </w:rPr>
        <w:t>２　内閣総理大臣は、前項の承認の申請があつた場合においては、当該申請が次の各号のいずれかに該当すると認めるときは、同項の承認をしてはならない。</w:t>
      </w:r>
    </w:p>
    <w:p w:rsidR="00A61C0E" w:rsidRDefault="00A61C0E" w:rsidP="00A61C0E">
      <w:pPr>
        <w:ind w:leftChars="86" w:left="359" w:hangingChars="85" w:hanging="178"/>
        <w:rPr>
          <w:rFonts w:hint="eastAsia"/>
        </w:rPr>
      </w:pPr>
      <w:r>
        <w:rPr>
          <w:rFonts w:hint="eastAsia"/>
        </w:rPr>
        <w:t>一　当該申請に係る上場が当該金融商品取引所若しくはその子会社である金融商品取引所又は当該金融商品取引所の総株主の議決権の百分の五十を超える対象議決権を保有する株式会社金融商品取引所の業務の健全かつ適切な運営を損なうおそれがあること。</w:t>
      </w:r>
    </w:p>
    <w:p w:rsidR="00A61C0E" w:rsidRDefault="00A61C0E" w:rsidP="00A61C0E">
      <w:pPr>
        <w:ind w:leftChars="86" w:left="359" w:hangingChars="85" w:hanging="178"/>
        <w:rPr>
          <w:rFonts w:hint="eastAsia"/>
        </w:rPr>
      </w:pPr>
      <w:r>
        <w:rPr>
          <w:rFonts w:hint="eastAsia"/>
        </w:rPr>
        <w:t>二　当該申請に係る上場に関し、当該取引所金融商品市場における取引の公正が確保されていないこと。</w:t>
      </w:r>
    </w:p>
    <w:p w:rsidR="00A61C0E" w:rsidRDefault="00A61C0E" w:rsidP="00A61C0E">
      <w:pPr>
        <w:ind w:left="178" w:hangingChars="85" w:hanging="178"/>
        <w:rPr>
          <w:rFonts w:hint="eastAsia"/>
        </w:rPr>
      </w:pPr>
      <w:r>
        <w:rPr>
          <w:rFonts w:hint="eastAsia"/>
        </w:rPr>
        <w:t>３　第百二十一条の規定にかかわらず、金融商品取引所は、次に掲げる者が発行者である有価証券をその売買のため、又は当該有価証券、当該有価証券に係る金融指標若しくは当該</w:t>
      </w:r>
      <w:r>
        <w:rPr>
          <w:rFonts w:hint="eastAsia"/>
        </w:rPr>
        <w:lastRenderedPageBreak/>
        <w:t>有価証券に係るオプションを市場デリバティブ取引のためにその開設する取引所金融商品市場に上場しようとする場合には、その上場しようとする取引所金融商品市場ごとに、その都度、その上場について、内閣総理大臣の承認を受けなければならない。ただし、次条の規定による命令に基づき上場する場合は、この限りでない。</w:t>
      </w:r>
    </w:p>
    <w:p w:rsidR="00A61C0E" w:rsidRDefault="00A61C0E" w:rsidP="00A61C0E">
      <w:pPr>
        <w:ind w:leftChars="86" w:left="359" w:hangingChars="85" w:hanging="178"/>
        <w:rPr>
          <w:rFonts w:hint="eastAsia"/>
        </w:rPr>
      </w:pPr>
      <w:r>
        <w:rPr>
          <w:rFonts w:hint="eastAsia"/>
        </w:rPr>
        <w:t>一　当該金融商品取引所の主要株主（第百六条の三第一項の認可又は第百六条の十七第一項の認可を受けた者をいう。）</w:t>
      </w:r>
    </w:p>
    <w:p w:rsidR="00A61C0E" w:rsidRDefault="00A61C0E" w:rsidP="00A61C0E">
      <w:pPr>
        <w:ind w:leftChars="86" w:left="359" w:hangingChars="85" w:hanging="178"/>
        <w:rPr>
          <w:rFonts w:hint="eastAsia"/>
        </w:rPr>
      </w:pPr>
      <w:r>
        <w:rPr>
          <w:rFonts w:hint="eastAsia"/>
        </w:rPr>
        <w:t>二　当該金融商品取引所の子会社（当該子会社が金融商品取引所又は金融商品取引所持株会社である場合を除く。）</w:t>
      </w:r>
    </w:p>
    <w:p w:rsidR="00A61C0E" w:rsidRDefault="00A61C0E" w:rsidP="00A61C0E">
      <w:pPr>
        <w:ind w:left="178" w:hangingChars="85" w:hanging="178"/>
        <w:rPr>
          <w:rFonts w:hint="eastAsia"/>
        </w:rPr>
      </w:pPr>
      <w:r>
        <w:rPr>
          <w:rFonts w:hint="eastAsia"/>
        </w:rPr>
        <w:t>４　内閣総理大臣は、前項の承認の申請があつた場合においては、当該申請に係る上場に関し、当該取引所金融商品市場における取引の公正が確保されていないと認めるときは、同項の承認をしてはならない。</w:t>
      </w:r>
    </w:p>
    <w:p w:rsidR="00A61C0E" w:rsidRPr="00A61C0E" w:rsidRDefault="00A61C0E" w:rsidP="00A61C0E">
      <w:pPr>
        <w:ind w:left="178" w:hangingChars="85" w:hanging="178"/>
      </w:pPr>
    </w:p>
    <w:p w:rsidR="00A61C0E" w:rsidRDefault="00A61C0E" w:rsidP="00A61C0E">
      <w:pPr>
        <w:ind w:left="178" w:hangingChars="85" w:hanging="178"/>
      </w:pPr>
      <w:r>
        <w:rPr>
          <w:rFonts w:hint="eastAsia"/>
        </w:rPr>
        <w:t>（改正前）</w:t>
      </w:r>
    </w:p>
    <w:p w:rsidR="00A61C0E" w:rsidRDefault="00A61C0E" w:rsidP="00A61C0E">
      <w:pPr>
        <w:rPr>
          <w:u w:val="single" w:color="FF0000"/>
        </w:rPr>
      </w:pPr>
      <w:r>
        <w:rPr>
          <w:rFonts w:hint="eastAsia"/>
          <w:u w:val="single" w:color="FF0000"/>
        </w:rPr>
        <w:t>（新設）</w:t>
      </w:r>
    </w:p>
    <w:p w:rsidR="00A61C0E" w:rsidRDefault="00A61C0E" w:rsidP="00A61C0E"/>
    <w:sectPr w:rsidR="00A61C0E">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33AA" w:rsidRDefault="002833AA">
      <w:r>
        <w:separator/>
      </w:r>
    </w:p>
  </w:endnote>
  <w:endnote w:type="continuationSeparator" w:id="0">
    <w:p w:rsidR="002833AA" w:rsidRDefault="002833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C0381">
      <w:rPr>
        <w:rStyle w:val="a4"/>
        <w:noProof/>
      </w:rPr>
      <w:t>1</w:t>
    </w:r>
    <w:r>
      <w:rPr>
        <w:rStyle w:val="a4"/>
      </w:rPr>
      <w:fldChar w:fldCharType="end"/>
    </w:r>
  </w:p>
  <w:p w:rsidR="00BB6331" w:rsidRDefault="00B32518"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124</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33AA" w:rsidRDefault="002833AA">
      <w:r>
        <w:separator/>
      </w:r>
    </w:p>
  </w:footnote>
  <w:footnote w:type="continuationSeparator" w:id="0">
    <w:p w:rsidR="002833AA" w:rsidRDefault="002833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0452B"/>
    <w:rsid w:val="002418AB"/>
    <w:rsid w:val="002833AA"/>
    <w:rsid w:val="004511C3"/>
    <w:rsid w:val="004B7D5E"/>
    <w:rsid w:val="006178CB"/>
    <w:rsid w:val="00641E16"/>
    <w:rsid w:val="006C774B"/>
    <w:rsid w:val="006F070C"/>
    <w:rsid w:val="007053CE"/>
    <w:rsid w:val="00787901"/>
    <w:rsid w:val="007D76EA"/>
    <w:rsid w:val="00A61C0E"/>
    <w:rsid w:val="00AC110B"/>
    <w:rsid w:val="00B32518"/>
    <w:rsid w:val="00BB6331"/>
    <w:rsid w:val="00F94ADB"/>
    <w:rsid w:val="00FB20F8"/>
    <w:rsid w:val="00FC03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18AB"/>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B3251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7790605">
      <w:bodyDiv w:val="1"/>
      <w:marLeft w:val="0"/>
      <w:marRight w:val="0"/>
      <w:marTop w:val="0"/>
      <w:marBottom w:val="0"/>
      <w:divBdr>
        <w:top w:val="none" w:sz="0" w:space="0" w:color="auto"/>
        <w:left w:val="none" w:sz="0" w:space="0" w:color="auto"/>
        <w:bottom w:val="none" w:sz="0" w:space="0" w:color="auto"/>
        <w:right w:val="none" w:sz="0" w:space="0" w:color="auto"/>
      </w:divBdr>
    </w:div>
    <w:div w:id="612244854">
      <w:bodyDiv w:val="1"/>
      <w:marLeft w:val="0"/>
      <w:marRight w:val="0"/>
      <w:marTop w:val="0"/>
      <w:marBottom w:val="0"/>
      <w:divBdr>
        <w:top w:val="none" w:sz="0" w:space="0" w:color="auto"/>
        <w:left w:val="none" w:sz="0" w:space="0" w:color="auto"/>
        <w:bottom w:val="none" w:sz="0" w:space="0" w:color="auto"/>
        <w:right w:val="none" w:sz="0" w:space="0" w:color="auto"/>
      </w:divBdr>
    </w:div>
    <w:div w:id="636490940">
      <w:bodyDiv w:val="1"/>
      <w:marLeft w:val="0"/>
      <w:marRight w:val="0"/>
      <w:marTop w:val="0"/>
      <w:marBottom w:val="0"/>
      <w:divBdr>
        <w:top w:val="none" w:sz="0" w:space="0" w:color="auto"/>
        <w:left w:val="none" w:sz="0" w:space="0" w:color="auto"/>
        <w:bottom w:val="none" w:sz="0" w:space="0" w:color="auto"/>
        <w:right w:val="none" w:sz="0" w:space="0" w:color="auto"/>
      </w:divBdr>
    </w:div>
    <w:div w:id="1034307241">
      <w:bodyDiv w:val="1"/>
      <w:marLeft w:val="0"/>
      <w:marRight w:val="0"/>
      <w:marTop w:val="0"/>
      <w:marBottom w:val="0"/>
      <w:divBdr>
        <w:top w:val="none" w:sz="0" w:space="0" w:color="auto"/>
        <w:left w:val="none" w:sz="0" w:space="0" w:color="auto"/>
        <w:bottom w:val="none" w:sz="0" w:space="0" w:color="auto"/>
        <w:right w:val="none" w:sz="0" w:space="0" w:color="auto"/>
      </w:divBdr>
    </w:div>
    <w:div w:id="1330711471">
      <w:bodyDiv w:val="1"/>
      <w:marLeft w:val="0"/>
      <w:marRight w:val="0"/>
      <w:marTop w:val="0"/>
      <w:marBottom w:val="0"/>
      <w:divBdr>
        <w:top w:val="none" w:sz="0" w:space="0" w:color="auto"/>
        <w:left w:val="none" w:sz="0" w:space="0" w:color="auto"/>
        <w:bottom w:val="none" w:sz="0" w:space="0" w:color="auto"/>
        <w:right w:val="none" w:sz="0" w:space="0" w:color="auto"/>
      </w:divBdr>
    </w:div>
    <w:div w:id="1340735499">
      <w:bodyDiv w:val="1"/>
      <w:marLeft w:val="0"/>
      <w:marRight w:val="0"/>
      <w:marTop w:val="0"/>
      <w:marBottom w:val="0"/>
      <w:divBdr>
        <w:top w:val="none" w:sz="0" w:space="0" w:color="auto"/>
        <w:left w:val="none" w:sz="0" w:space="0" w:color="auto"/>
        <w:bottom w:val="none" w:sz="0" w:space="0" w:color="auto"/>
        <w:right w:val="none" w:sz="0" w:space="0" w:color="auto"/>
      </w:divBdr>
    </w:div>
    <w:div w:id="1818909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368</Words>
  <Characters>2098</Characters>
  <Application>Microsoft Office Word</Application>
  <DocSecurity>0</DocSecurity>
  <Lines>17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金融商品取引法第124条</vt:lpstr>
      <vt:lpstr>金融商品取引法第124条</vt:lpstr>
    </vt:vector>
  </TitlesOfParts>
  <Manager/>
  <Company/>
  <LinksUpToDate>false</LinksUpToDate>
  <CharactersWithSpaces>2462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金融商品取引法第124条</dc:title>
  <dc:subject/>
  <dc:creator/>
  <cp:keywords/>
  <dc:description/>
  <cp:lastModifiedBy/>
  <cp:revision>1</cp:revision>
  <dcterms:created xsi:type="dcterms:W3CDTF">2024-10-04T02:13:00Z</dcterms:created>
  <dcterms:modified xsi:type="dcterms:W3CDTF">2024-10-04T02:13:00Z</dcterms:modified>
</cp:coreProperties>
</file>