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36D19" w:rsidRDefault="00E36D19" w:rsidP="00E36D1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36D19" w:rsidRDefault="00BB6331" w:rsidP="00BB6331">
      <w:pPr>
        <w:rPr>
          <w:rFonts w:hint="eastAsia"/>
        </w:rPr>
      </w:pPr>
    </w:p>
    <w:p w:rsidR="0091746C" w:rsidRDefault="0091746C" w:rsidP="0091746C">
      <w:pPr>
        <w:rPr>
          <w:rFonts w:hint="eastAsia"/>
        </w:rPr>
      </w:pPr>
      <w:r>
        <w:rPr>
          <w:rFonts w:hint="eastAsia"/>
        </w:rPr>
        <w:t>（定款等の変更の認可等）</w:t>
      </w:r>
    </w:p>
    <w:p w:rsidR="0091746C" w:rsidRDefault="0091746C" w:rsidP="00C82588">
      <w:pPr>
        <w:ind w:left="178" w:hangingChars="85" w:hanging="178"/>
        <w:rPr>
          <w:rFonts w:hint="eastAsia"/>
        </w:rPr>
      </w:pPr>
      <w:r>
        <w:rPr>
          <w:rFonts w:hint="eastAsia"/>
        </w:rPr>
        <w:t>第百四十九条　金融商品取引所は、定款、業務規程又は受託契約準則を変更しようとするときは、内閣総理大臣の認可を受けなければならない。</w:t>
      </w:r>
    </w:p>
    <w:p w:rsidR="00BB6331" w:rsidRDefault="0091746C" w:rsidP="00C82588">
      <w:pPr>
        <w:ind w:left="178" w:hangingChars="85" w:hanging="178"/>
        <w:rPr>
          <w:rFonts w:hint="eastAsia"/>
        </w:rPr>
      </w:pPr>
      <w:r>
        <w:rPr>
          <w:rFonts w:hint="eastAsia"/>
        </w:rPr>
        <w:t>２　金融商品取引所は、第八十一条第一項第二号又は第三号に掲げる事項について変更があつたときは、遅滞なく、その旨を内閣総理大臣に届け出なければならない。金融商品取引所の規則（定款、業務規程、受託契約準則及び第百五十六条の十九の承認を受けて行う金融商品債務引受業に係る業務方法書を除く。）の作成、変更又は廃止があつたときも、同様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0967">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D09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D0967">
        <w:rPr>
          <w:rFonts w:hint="eastAsia"/>
        </w:rPr>
        <w:t>（改正なし）</w:t>
      </w:r>
    </w:p>
    <w:p w:rsidR="00073BE3" w:rsidRDefault="00073BE3" w:rsidP="00073B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82588">
        <w:tab/>
      </w:r>
      <w:r w:rsidR="00C82588">
        <w:rPr>
          <w:rFonts w:hint="eastAsia"/>
        </w:rPr>
        <w:t>（改正なし）</w:t>
      </w:r>
    </w:p>
    <w:p w:rsidR="00073BE3" w:rsidRDefault="00BB6331" w:rsidP="00073BE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73BE3" w:rsidRDefault="00073BE3" w:rsidP="00073BE3"/>
    <w:p w:rsidR="00073BE3" w:rsidRDefault="00073BE3" w:rsidP="00073BE3">
      <w:r>
        <w:rPr>
          <w:rFonts w:hint="eastAsia"/>
        </w:rPr>
        <w:t>（改正後）</w:t>
      </w:r>
    </w:p>
    <w:p w:rsidR="00073BE3" w:rsidRPr="00073BE3" w:rsidRDefault="00073BE3" w:rsidP="00073BE3">
      <w:pPr>
        <w:rPr>
          <w:rFonts w:hint="eastAsia"/>
          <w:u w:val="single" w:color="FF0000"/>
        </w:rPr>
      </w:pPr>
      <w:r w:rsidRPr="00073BE3">
        <w:rPr>
          <w:rFonts w:hint="eastAsia"/>
          <w:u w:val="single" w:color="FF0000"/>
        </w:rPr>
        <w:t>（定款等の変更の認可等）</w:t>
      </w:r>
    </w:p>
    <w:p w:rsidR="00073BE3" w:rsidRDefault="00073BE3" w:rsidP="00073BE3">
      <w:pPr>
        <w:ind w:left="178" w:hangingChars="85" w:hanging="178"/>
        <w:rPr>
          <w:rFonts w:hint="eastAsia"/>
        </w:rPr>
      </w:pPr>
      <w:r>
        <w:rPr>
          <w:rFonts w:hint="eastAsia"/>
        </w:rPr>
        <w:t xml:space="preserve">第百四十九条　</w:t>
      </w:r>
      <w:r w:rsidRPr="00073BE3">
        <w:rPr>
          <w:rFonts w:hint="eastAsia"/>
          <w:u w:val="single" w:color="FF0000"/>
        </w:rPr>
        <w:t>金融商品取引所</w:t>
      </w:r>
      <w:r>
        <w:rPr>
          <w:rFonts w:hint="eastAsia"/>
        </w:rPr>
        <w:t>は、定款、業務規程又は受託契約準則を変更しようとするときは、内閣総理大臣の認可を受けなければならない。</w:t>
      </w:r>
    </w:p>
    <w:p w:rsidR="00073BE3" w:rsidRDefault="00073BE3" w:rsidP="00073BE3">
      <w:pPr>
        <w:ind w:left="178" w:hangingChars="85" w:hanging="178"/>
        <w:rPr>
          <w:rFonts w:hint="eastAsia"/>
        </w:rPr>
      </w:pPr>
      <w:r w:rsidRPr="00073BE3">
        <w:rPr>
          <w:rFonts w:hint="eastAsia"/>
          <w:u w:val="single" w:color="FF0000"/>
        </w:rPr>
        <w:t>２</w:t>
      </w:r>
      <w:r>
        <w:rPr>
          <w:rFonts w:hint="eastAsia"/>
        </w:rPr>
        <w:t xml:space="preserve">　</w:t>
      </w:r>
      <w:r w:rsidRPr="00073BE3">
        <w:rPr>
          <w:rFonts w:hint="eastAsia"/>
          <w:u w:val="single" w:color="FF0000"/>
        </w:rPr>
        <w:t>金融商品取引所</w:t>
      </w:r>
      <w:r>
        <w:rPr>
          <w:rFonts w:hint="eastAsia"/>
        </w:rPr>
        <w:t>は、</w:t>
      </w:r>
      <w:r w:rsidRPr="00073BE3">
        <w:rPr>
          <w:rFonts w:hint="eastAsia"/>
          <w:u w:val="single" w:color="FF0000"/>
        </w:rPr>
        <w:t>第八十一条</w:t>
      </w:r>
      <w:r>
        <w:rPr>
          <w:rFonts w:hint="eastAsia"/>
        </w:rPr>
        <w:t>第一項第二号又は第三号に掲げる事項について変更があつたときは、遅滞なく、その旨を内閣総理大臣に届け出なければならない。</w:t>
      </w:r>
      <w:r w:rsidRPr="00073BE3">
        <w:rPr>
          <w:rFonts w:hint="eastAsia"/>
          <w:u w:val="single" w:color="FF0000"/>
        </w:rPr>
        <w:t>金融商品取引所</w:t>
      </w:r>
      <w:r>
        <w:rPr>
          <w:rFonts w:hint="eastAsia"/>
        </w:rPr>
        <w:t>の規則（定款、業務規程、受託契約準則及び第百五十六条の十九の承認を受けて行う</w:t>
      </w:r>
      <w:r w:rsidRPr="00073BE3">
        <w:rPr>
          <w:rFonts w:hint="eastAsia"/>
          <w:u w:val="single" w:color="FF0000"/>
        </w:rPr>
        <w:t>金融商品債務引受業</w:t>
      </w:r>
      <w:r>
        <w:rPr>
          <w:rFonts w:hint="eastAsia"/>
        </w:rPr>
        <w:t>に係る業務方法書を除く。）の作成、変更又は廃止があつたときも、同様とする。</w:t>
      </w:r>
    </w:p>
    <w:p w:rsidR="00073BE3" w:rsidRPr="00073BE3" w:rsidRDefault="00073BE3" w:rsidP="00073BE3">
      <w:pPr>
        <w:ind w:left="178" w:hangingChars="85" w:hanging="178"/>
      </w:pPr>
    </w:p>
    <w:p w:rsidR="00073BE3" w:rsidRDefault="00073BE3" w:rsidP="00073BE3">
      <w:pPr>
        <w:ind w:left="178" w:hangingChars="85" w:hanging="178"/>
      </w:pPr>
      <w:r>
        <w:rPr>
          <w:rFonts w:hint="eastAsia"/>
        </w:rPr>
        <w:lastRenderedPageBreak/>
        <w:t>（改正前）</w:t>
      </w:r>
    </w:p>
    <w:p w:rsidR="00073BE3" w:rsidRDefault="00073BE3" w:rsidP="00073BE3">
      <w:pPr>
        <w:rPr>
          <w:u w:val="single" w:color="FF0000"/>
        </w:rPr>
      </w:pPr>
      <w:r>
        <w:rPr>
          <w:rFonts w:hint="eastAsia"/>
          <w:u w:val="single" w:color="FF0000"/>
        </w:rPr>
        <w:t>（新設）</w:t>
      </w:r>
    </w:p>
    <w:p w:rsidR="00073BE3" w:rsidRDefault="00073BE3" w:rsidP="00073BE3">
      <w:pPr>
        <w:ind w:left="178" w:hangingChars="85" w:hanging="178"/>
        <w:rPr>
          <w:rFonts w:hint="eastAsia"/>
        </w:rPr>
      </w:pPr>
      <w:r w:rsidRPr="00073BE3">
        <w:rPr>
          <w:rFonts w:hint="eastAsia"/>
        </w:rPr>
        <w:t xml:space="preserve">第百四十九条　</w:t>
      </w:r>
      <w:r w:rsidRPr="00073BE3">
        <w:rPr>
          <w:rFonts w:hint="eastAsia"/>
          <w:u w:val="single" w:color="FF0000"/>
        </w:rPr>
        <w:t>証券取引所</w:t>
      </w:r>
      <w:r w:rsidRPr="00073BE3">
        <w:rPr>
          <w:rFonts w:hint="eastAsia"/>
        </w:rPr>
        <w:t>は、定款、業務規程又は受託契約準則を変更しようとするとき</w:t>
      </w:r>
      <w:r>
        <w:rPr>
          <w:rFonts w:hint="eastAsia"/>
        </w:rPr>
        <w:t>は、内閣総理大臣の認可を受けなければならない。</w:t>
      </w:r>
    </w:p>
    <w:p w:rsidR="00073BE3" w:rsidRDefault="00073BE3" w:rsidP="00073BE3">
      <w:pPr>
        <w:ind w:left="178" w:hangingChars="85" w:hanging="178"/>
        <w:rPr>
          <w:rFonts w:hint="eastAsia"/>
        </w:rPr>
      </w:pPr>
      <w:r w:rsidRPr="00073BE3">
        <w:rPr>
          <w:rFonts w:hint="eastAsia"/>
          <w:u w:val="single" w:color="FF0000"/>
        </w:rPr>
        <w:t>②</w:t>
      </w:r>
      <w:r>
        <w:rPr>
          <w:rFonts w:hint="eastAsia"/>
        </w:rPr>
        <w:t xml:space="preserve">　</w:t>
      </w:r>
      <w:r w:rsidRPr="00073BE3">
        <w:rPr>
          <w:rFonts w:hint="eastAsia"/>
          <w:u w:val="single" w:color="FF0000"/>
        </w:rPr>
        <w:t>証券取引所</w:t>
      </w:r>
      <w:r>
        <w:rPr>
          <w:rFonts w:hint="eastAsia"/>
        </w:rPr>
        <w:t>は、</w:t>
      </w:r>
      <w:r w:rsidRPr="00073BE3">
        <w:rPr>
          <w:rFonts w:hint="eastAsia"/>
          <w:u w:val="single" w:color="FF0000"/>
        </w:rPr>
        <w:t>第八十二条</w:t>
      </w:r>
      <w:r>
        <w:rPr>
          <w:rFonts w:hint="eastAsia"/>
        </w:rPr>
        <w:t>第一項第二号又は第三号に掲げる事項について変更があつたときは、遅滞なく、その旨を内閣総理大臣に届け出なければならない。</w:t>
      </w:r>
      <w:r w:rsidRPr="00073BE3">
        <w:rPr>
          <w:rFonts w:hint="eastAsia"/>
          <w:u w:val="single" w:color="FF0000"/>
        </w:rPr>
        <w:t>証券取引所</w:t>
      </w:r>
      <w:r>
        <w:rPr>
          <w:rFonts w:hint="eastAsia"/>
        </w:rPr>
        <w:t>の規則（定款、業務規程、受託契約準則及び第百五十六条の十九の承認を受けて行う</w:t>
      </w:r>
      <w:r w:rsidRPr="00073BE3">
        <w:rPr>
          <w:rFonts w:hint="eastAsia"/>
          <w:u w:val="single" w:color="FF0000"/>
        </w:rPr>
        <w:t>有価証券債務引受業</w:t>
      </w:r>
      <w:r>
        <w:rPr>
          <w:rFonts w:hint="eastAsia"/>
        </w:rPr>
        <w:t>に係る業務方法書を除く。）の作成、変更又は廃止があつたときも、同様とする。</w:t>
      </w:r>
    </w:p>
    <w:p w:rsidR="00073BE3" w:rsidRPr="00073BE3" w:rsidRDefault="00073BE3" w:rsidP="00073BE3"/>
    <w:p w:rsidR="00C82588" w:rsidRPr="00073BE3" w:rsidRDefault="00C82588" w:rsidP="00C8258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73BE3">
        <w:tab/>
      </w:r>
      <w:r w:rsidR="00073B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73BE3">
        <w:tab/>
      </w:r>
      <w:r w:rsidR="00073BE3">
        <w:rPr>
          <w:rFonts w:hint="eastAsia"/>
        </w:rPr>
        <w:t>（改正なし）</w:t>
      </w:r>
    </w:p>
    <w:p w:rsidR="00A8137A" w:rsidRDefault="00BB6331" w:rsidP="00A8137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12AF8">
        <w:tab/>
      </w:r>
      <w:r w:rsidR="00D12AF8">
        <w:rPr>
          <w:rFonts w:hint="eastAsia"/>
        </w:rPr>
        <w:t>（編者注：実質ベースで書き換え）</w:t>
      </w:r>
    </w:p>
    <w:p w:rsidR="00D12AF8" w:rsidRDefault="00D12AF8" w:rsidP="00D12AF8"/>
    <w:p w:rsidR="00D12AF8" w:rsidRDefault="00D12AF8" w:rsidP="00D12AF8">
      <w:r>
        <w:rPr>
          <w:rFonts w:hint="eastAsia"/>
        </w:rPr>
        <w:t>（改正後）</w:t>
      </w:r>
    </w:p>
    <w:p w:rsidR="00CB77E3" w:rsidRDefault="00CB77E3" w:rsidP="00CB77E3">
      <w:pPr>
        <w:ind w:left="178" w:hangingChars="85" w:hanging="178"/>
        <w:rPr>
          <w:rFonts w:hint="eastAsia"/>
        </w:rPr>
      </w:pPr>
      <w:r w:rsidRPr="00CB77E3">
        <w:rPr>
          <w:rFonts w:hint="eastAsia"/>
          <w:u w:val="single" w:color="FF0000"/>
        </w:rPr>
        <w:t>第百四十九条</w:t>
      </w:r>
      <w:r>
        <w:rPr>
          <w:rFonts w:hint="eastAsia"/>
        </w:rPr>
        <w:t xml:space="preserve">　証券取引所は、定款、業務規程又は受託契約準則を変更しようとするときは、内閣総理大臣の認可を受けなければならない。</w:t>
      </w:r>
    </w:p>
    <w:p w:rsidR="00CB77E3" w:rsidRDefault="00CB77E3" w:rsidP="00CB77E3">
      <w:pPr>
        <w:ind w:left="178" w:hangingChars="85" w:hanging="178"/>
        <w:rPr>
          <w:rFonts w:hint="eastAsia"/>
        </w:rPr>
      </w:pPr>
      <w:r>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受託契約準則及び第百五十六条の十九の承認を受けて行う有価証券債務引受業に係る業務方法書を除く。）の作成、変更又は廃止があつたときも、同様とす</w:t>
      </w:r>
      <w:r>
        <w:rPr>
          <w:rFonts w:hint="eastAsia"/>
        </w:rPr>
        <w:lastRenderedPageBreak/>
        <w:t>る。</w:t>
      </w:r>
    </w:p>
    <w:p w:rsidR="00D12AF8" w:rsidRPr="00AB1E85" w:rsidRDefault="00D12AF8" w:rsidP="00D12AF8">
      <w:pPr>
        <w:ind w:left="178" w:hangingChars="85" w:hanging="178"/>
      </w:pPr>
    </w:p>
    <w:p w:rsidR="00D12AF8" w:rsidRPr="00AB1E85" w:rsidRDefault="00D12AF8" w:rsidP="00D12AF8">
      <w:pPr>
        <w:ind w:left="178" w:hangingChars="85" w:hanging="178"/>
      </w:pPr>
      <w:r w:rsidRPr="00AB1E85">
        <w:rPr>
          <w:rFonts w:hint="eastAsia"/>
        </w:rPr>
        <w:t>（改正前）</w:t>
      </w:r>
    </w:p>
    <w:p w:rsidR="00D12AF8" w:rsidRPr="00AB1E85" w:rsidRDefault="00D12AF8" w:rsidP="00D12AF8">
      <w:pPr>
        <w:ind w:left="178" w:hangingChars="85" w:hanging="178"/>
        <w:rPr>
          <w:rFonts w:hint="eastAsia"/>
        </w:rPr>
      </w:pPr>
      <w:r w:rsidRPr="00D12AF8">
        <w:rPr>
          <w:rFonts w:hint="eastAsia"/>
          <w:u w:val="single" w:color="FF0000"/>
        </w:rPr>
        <w:t>第百五十二条</w:t>
      </w:r>
      <w:r w:rsidRPr="00AB1E85">
        <w:rPr>
          <w:rFonts w:hint="eastAsia"/>
        </w:rPr>
        <w:t xml:space="preserve">　証券取引所は、定款、業務規程又は受託契約準則を変更しようとするときは、内閣総理大臣の認可を受けなければならない。</w:t>
      </w:r>
    </w:p>
    <w:p w:rsidR="00D12AF8" w:rsidRDefault="00D12AF8" w:rsidP="00D12AF8">
      <w:pPr>
        <w:ind w:left="178" w:hangingChars="85" w:hanging="178"/>
        <w:rPr>
          <w:rFonts w:hint="eastAsia"/>
        </w:rPr>
      </w:pPr>
      <w:r w:rsidRPr="00AB1E85">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受託契約準則及び第百五十六条の十九の承認を受けて行う有価証券債務引受業に係る業務方法書を除く。）の作</w:t>
      </w:r>
      <w:r>
        <w:rPr>
          <w:rFonts w:hint="eastAsia"/>
        </w:rPr>
        <w:t>成、変更又は廃止があつたときも、同様とする。</w:t>
      </w:r>
    </w:p>
    <w:p w:rsidR="00D12AF8" w:rsidRDefault="00D12AF8" w:rsidP="00D12AF8"/>
    <w:p w:rsidR="00D12AF8" w:rsidRDefault="00D12AF8" w:rsidP="00D12AF8">
      <w:pPr>
        <w:rPr>
          <w:rFonts w:hint="eastAsia"/>
        </w:rPr>
      </w:pPr>
    </w:p>
    <w:p w:rsidR="00D12AF8" w:rsidRDefault="00D12AF8" w:rsidP="00D12AF8">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12AF8" w:rsidRDefault="00D12AF8" w:rsidP="00D12AF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12AF8" w:rsidRDefault="00D12AF8" w:rsidP="00D12AF8"/>
    <w:p w:rsidR="00D12AF8" w:rsidRDefault="00D12AF8" w:rsidP="00D12AF8">
      <w:r>
        <w:rPr>
          <w:rFonts w:hint="eastAsia"/>
        </w:rPr>
        <w:t>（改正後）</w:t>
      </w:r>
    </w:p>
    <w:p w:rsidR="00D12AF8" w:rsidRDefault="00D12AF8" w:rsidP="00D12AF8">
      <w:pPr>
        <w:ind w:left="178" w:hangingChars="85" w:hanging="178"/>
        <w:rPr>
          <w:rFonts w:hint="eastAsia"/>
        </w:rPr>
      </w:pPr>
      <w:r>
        <w:rPr>
          <w:rFonts w:hint="eastAsia"/>
        </w:rPr>
        <w:t>第百五十二条　証券取引所は、定款、業務規程又は受託契約準則を変更しようとするときは、内閣総理大臣の認可を受けなければならない。</w:t>
      </w:r>
    </w:p>
    <w:p w:rsidR="00D12AF8" w:rsidRDefault="00D12AF8" w:rsidP="00D12AF8">
      <w:pPr>
        <w:ind w:left="178" w:hangingChars="85" w:hanging="178"/>
        <w:rPr>
          <w:rFonts w:hint="eastAsia"/>
        </w:rPr>
      </w:pPr>
      <w:r>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w:t>
      </w:r>
      <w:r w:rsidRPr="00033926">
        <w:rPr>
          <w:rFonts w:hint="eastAsia"/>
          <w:u w:val="single" w:color="FF0000"/>
        </w:rPr>
        <w:t>、受託契約準則及び第百五十六条の十九の承認を受けて行う有価証券債務引受業に係る業務方法書</w:t>
      </w:r>
      <w:r>
        <w:rPr>
          <w:rFonts w:hint="eastAsia"/>
        </w:rPr>
        <w:t>を除く。）の作成、変更又は廃止があつたときも、同様とする。</w:t>
      </w:r>
    </w:p>
    <w:p w:rsidR="00D12AF8" w:rsidRDefault="00D12AF8" w:rsidP="00D12AF8">
      <w:pPr>
        <w:ind w:left="178" w:hangingChars="85" w:hanging="178"/>
      </w:pPr>
    </w:p>
    <w:p w:rsidR="00D12AF8" w:rsidRDefault="00D12AF8" w:rsidP="00D12AF8">
      <w:pPr>
        <w:ind w:left="178" w:hangingChars="85" w:hanging="178"/>
      </w:pPr>
      <w:r>
        <w:rPr>
          <w:rFonts w:hint="eastAsia"/>
        </w:rPr>
        <w:t>（改正前）</w:t>
      </w:r>
    </w:p>
    <w:p w:rsidR="00D12AF8" w:rsidRDefault="00D12AF8" w:rsidP="00D12AF8">
      <w:pPr>
        <w:ind w:left="178" w:hangingChars="85" w:hanging="178"/>
        <w:rPr>
          <w:rFonts w:hint="eastAsia"/>
        </w:rPr>
      </w:pPr>
      <w:r>
        <w:rPr>
          <w:rFonts w:hint="eastAsia"/>
        </w:rPr>
        <w:t>第百五十二条　証券取引所は、定款、業務規程又は受託契約準則を変更しようとするときは、内閣総理大臣の認可を受けなければならない。</w:t>
      </w:r>
    </w:p>
    <w:p w:rsidR="00D12AF8" w:rsidRDefault="00D12AF8" w:rsidP="00D12AF8">
      <w:pPr>
        <w:ind w:left="178" w:hangingChars="85" w:hanging="178"/>
        <w:rPr>
          <w:rFonts w:hint="eastAsia"/>
        </w:rPr>
      </w:pPr>
      <w:r>
        <w:rPr>
          <w:rFonts w:hint="eastAsia"/>
        </w:rPr>
        <w:t>②　証券取引所は、第八十二条第一項第二号又は第三号に掲げる事項について変更があつたときは、遅滞なく、その旨を内閣総理大臣に届け出なければならない。証券取引所の規則（定款、業務規程</w:t>
      </w:r>
      <w:r w:rsidRPr="00033926">
        <w:rPr>
          <w:rFonts w:hint="eastAsia"/>
          <w:u w:val="single" w:color="FF0000"/>
        </w:rPr>
        <w:t>及び受託契約準則</w:t>
      </w:r>
      <w:r>
        <w:rPr>
          <w:rFonts w:hint="eastAsia"/>
        </w:rPr>
        <w:t>を除く。）の作成、変更又は廃止があつたときも、同様とする。</w:t>
      </w:r>
    </w:p>
    <w:p w:rsidR="00D12AF8" w:rsidRDefault="00D12AF8" w:rsidP="00D12AF8"/>
    <w:p w:rsidR="00D12AF8" w:rsidRDefault="00D12AF8" w:rsidP="00D12AF8">
      <w:pPr>
        <w:rPr>
          <w:rFonts w:hint="eastAsia"/>
        </w:rPr>
      </w:pPr>
    </w:p>
    <w:p w:rsidR="00D12AF8" w:rsidRDefault="00D12AF8" w:rsidP="00D12AF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12AF8" w:rsidRDefault="00D12AF8" w:rsidP="00D12AF8">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12AF8" w:rsidRDefault="00D12AF8" w:rsidP="00D12AF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12AF8" w:rsidRDefault="00D12AF8" w:rsidP="00D12AF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D12AF8" w:rsidRDefault="00D12AF8" w:rsidP="00D12AF8"/>
    <w:p w:rsidR="00D12AF8" w:rsidRDefault="00D12AF8" w:rsidP="00D12AF8">
      <w:r>
        <w:rPr>
          <w:rFonts w:hint="eastAsia"/>
        </w:rPr>
        <w:t>（改正後）</w:t>
      </w:r>
    </w:p>
    <w:p w:rsidR="00D12AF8" w:rsidRDefault="00D12AF8" w:rsidP="00D12AF8">
      <w:pPr>
        <w:ind w:left="178" w:hangingChars="85" w:hanging="178"/>
        <w:rPr>
          <w:rFonts w:hint="eastAsia"/>
        </w:rPr>
      </w:pPr>
      <w:r>
        <w:rPr>
          <w:rFonts w:hint="eastAsia"/>
        </w:rPr>
        <w:t>第百五十二条　証券取引所は、定款、業務規程又は受託契約準則を変更しようとするときは、</w:t>
      </w:r>
      <w:r w:rsidRPr="00312063">
        <w:rPr>
          <w:rFonts w:hint="eastAsia"/>
          <w:u w:val="double" w:color="FF0000"/>
        </w:rPr>
        <w:t>内閣総理大臣</w:t>
      </w:r>
      <w:r>
        <w:rPr>
          <w:rFonts w:hint="eastAsia"/>
        </w:rPr>
        <w:t>の認可を受けなければならない。</w:t>
      </w:r>
    </w:p>
    <w:p w:rsidR="00D12AF8" w:rsidRDefault="00D12AF8" w:rsidP="00D12AF8">
      <w:pPr>
        <w:ind w:left="178" w:hangingChars="85" w:hanging="178"/>
        <w:rPr>
          <w:rFonts w:hint="eastAsia"/>
        </w:rPr>
      </w:pPr>
      <w:r>
        <w:rPr>
          <w:rFonts w:hint="eastAsia"/>
        </w:rPr>
        <w:t>②　証券取引所は、第八十二条第一項第二号又は第三号に掲げる事項について変更があつたときは、遅滞なく、その旨を</w:t>
      </w:r>
      <w:r w:rsidRPr="00312063">
        <w:rPr>
          <w:rFonts w:hint="eastAsia"/>
          <w:u w:val="double" w:color="FF0000"/>
        </w:rPr>
        <w:t>内閣総理大臣</w:t>
      </w:r>
      <w:r>
        <w:rPr>
          <w:rFonts w:hint="eastAsia"/>
        </w:rPr>
        <w:t>に届け出なければならない。証券取引所の規則（定款、業務規程及び受託契約準則を除く。）の作成、変更又は廃止があつたときも、同様とする。</w:t>
      </w:r>
    </w:p>
    <w:p w:rsidR="00D12AF8" w:rsidRDefault="00D12AF8" w:rsidP="00D12AF8">
      <w:pPr>
        <w:ind w:left="178" w:hangingChars="85" w:hanging="178"/>
      </w:pPr>
    </w:p>
    <w:p w:rsidR="00D12AF8" w:rsidRDefault="00D12AF8" w:rsidP="00D12AF8">
      <w:pPr>
        <w:ind w:left="178" w:hangingChars="85" w:hanging="178"/>
      </w:pPr>
      <w:r>
        <w:rPr>
          <w:rFonts w:hint="eastAsia"/>
        </w:rPr>
        <w:t>（改正前）</w:t>
      </w:r>
    </w:p>
    <w:p w:rsidR="00D12AF8" w:rsidRDefault="00D12AF8" w:rsidP="00D12AF8">
      <w:pPr>
        <w:rPr>
          <w:u w:val="single" w:color="FF0000"/>
        </w:rPr>
      </w:pPr>
      <w:r>
        <w:rPr>
          <w:rFonts w:hint="eastAsia"/>
          <w:u w:val="single" w:color="FF0000"/>
        </w:rPr>
        <w:t>（新設）</w:t>
      </w:r>
    </w:p>
    <w:p w:rsidR="00D12AF8" w:rsidRDefault="00D12AF8" w:rsidP="00D12AF8">
      <w:pPr>
        <w:rPr>
          <w:rFonts w:hint="eastAsia"/>
        </w:rPr>
      </w:pPr>
    </w:p>
    <w:sectPr w:rsidR="00D12A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CC5" w:rsidRDefault="00D14CC5">
      <w:r>
        <w:separator/>
      </w:r>
    </w:p>
  </w:endnote>
  <w:endnote w:type="continuationSeparator" w:id="0">
    <w:p w:rsidR="00D14CC5" w:rsidRDefault="00D1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96883">
      <w:rPr>
        <w:rStyle w:val="a4"/>
        <w:noProof/>
      </w:rPr>
      <w:t>1</w:t>
    </w:r>
    <w:r>
      <w:rPr>
        <w:rStyle w:val="a4"/>
      </w:rPr>
      <w:fldChar w:fldCharType="end"/>
    </w:r>
  </w:p>
  <w:p w:rsidR="00BB6331" w:rsidRDefault="00C8258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CC5" w:rsidRDefault="00D14CC5">
      <w:r>
        <w:separator/>
      </w:r>
    </w:p>
  </w:footnote>
  <w:footnote w:type="continuationSeparator" w:id="0">
    <w:p w:rsidR="00D14CC5" w:rsidRDefault="00D14C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2C8"/>
    <w:rsid w:val="00073BE3"/>
    <w:rsid w:val="000A2180"/>
    <w:rsid w:val="000F6994"/>
    <w:rsid w:val="001E30AA"/>
    <w:rsid w:val="00240F7E"/>
    <w:rsid w:val="00490539"/>
    <w:rsid w:val="005868A4"/>
    <w:rsid w:val="00641E16"/>
    <w:rsid w:val="00796883"/>
    <w:rsid w:val="007D0967"/>
    <w:rsid w:val="007D76EA"/>
    <w:rsid w:val="00873012"/>
    <w:rsid w:val="0091746C"/>
    <w:rsid w:val="009418A3"/>
    <w:rsid w:val="009A3278"/>
    <w:rsid w:val="009B1159"/>
    <w:rsid w:val="00A8137A"/>
    <w:rsid w:val="00B26D89"/>
    <w:rsid w:val="00BB6331"/>
    <w:rsid w:val="00BD36AC"/>
    <w:rsid w:val="00C82588"/>
    <w:rsid w:val="00CA506C"/>
    <w:rsid w:val="00CB77E3"/>
    <w:rsid w:val="00D12AF8"/>
    <w:rsid w:val="00D14CC5"/>
    <w:rsid w:val="00E36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BE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8258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5886">
      <w:bodyDiv w:val="1"/>
      <w:marLeft w:val="0"/>
      <w:marRight w:val="0"/>
      <w:marTop w:val="0"/>
      <w:marBottom w:val="0"/>
      <w:divBdr>
        <w:top w:val="none" w:sz="0" w:space="0" w:color="auto"/>
        <w:left w:val="none" w:sz="0" w:space="0" w:color="auto"/>
        <w:bottom w:val="none" w:sz="0" w:space="0" w:color="auto"/>
        <w:right w:val="none" w:sz="0" w:space="0" w:color="auto"/>
      </w:divBdr>
    </w:div>
    <w:div w:id="226962932">
      <w:bodyDiv w:val="1"/>
      <w:marLeft w:val="0"/>
      <w:marRight w:val="0"/>
      <w:marTop w:val="0"/>
      <w:marBottom w:val="0"/>
      <w:divBdr>
        <w:top w:val="none" w:sz="0" w:space="0" w:color="auto"/>
        <w:left w:val="none" w:sz="0" w:space="0" w:color="auto"/>
        <w:bottom w:val="none" w:sz="0" w:space="0" w:color="auto"/>
        <w:right w:val="none" w:sz="0" w:space="0" w:color="auto"/>
      </w:divBdr>
    </w:div>
    <w:div w:id="299505441">
      <w:bodyDiv w:val="1"/>
      <w:marLeft w:val="0"/>
      <w:marRight w:val="0"/>
      <w:marTop w:val="0"/>
      <w:marBottom w:val="0"/>
      <w:divBdr>
        <w:top w:val="none" w:sz="0" w:space="0" w:color="auto"/>
        <w:left w:val="none" w:sz="0" w:space="0" w:color="auto"/>
        <w:bottom w:val="none" w:sz="0" w:space="0" w:color="auto"/>
        <w:right w:val="none" w:sz="0" w:space="0" w:color="auto"/>
      </w:divBdr>
    </w:div>
    <w:div w:id="344209363">
      <w:bodyDiv w:val="1"/>
      <w:marLeft w:val="0"/>
      <w:marRight w:val="0"/>
      <w:marTop w:val="0"/>
      <w:marBottom w:val="0"/>
      <w:divBdr>
        <w:top w:val="none" w:sz="0" w:space="0" w:color="auto"/>
        <w:left w:val="none" w:sz="0" w:space="0" w:color="auto"/>
        <w:bottom w:val="none" w:sz="0" w:space="0" w:color="auto"/>
        <w:right w:val="none" w:sz="0" w:space="0" w:color="auto"/>
      </w:divBdr>
    </w:div>
    <w:div w:id="396250052">
      <w:bodyDiv w:val="1"/>
      <w:marLeft w:val="0"/>
      <w:marRight w:val="0"/>
      <w:marTop w:val="0"/>
      <w:marBottom w:val="0"/>
      <w:divBdr>
        <w:top w:val="none" w:sz="0" w:space="0" w:color="auto"/>
        <w:left w:val="none" w:sz="0" w:space="0" w:color="auto"/>
        <w:bottom w:val="none" w:sz="0" w:space="0" w:color="auto"/>
        <w:right w:val="none" w:sz="0" w:space="0" w:color="auto"/>
      </w:divBdr>
    </w:div>
    <w:div w:id="410391032">
      <w:bodyDiv w:val="1"/>
      <w:marLeft w:val="0"/>
      <w:marRight w:val="0"/>
      <w:marTop w:val="0"/>
      <w:marBottom w:val="0"/>
      <w:divBdr>
        <w:top w:val="none" w:sz="0" w:space="0" w:color="auto"/>
        <w:left w:val="none" w:sz="0" w:space="0" w:color="auto"/>
        <w:bottom w:val="none" w:sz="0" w:space="0" w:color="auto"/>
        <w:right w:val="none" w:sz="0" w:space="0" w:color="auto"/>
      </w:divBdr>
    </w:div>
    <w:div w:id="417676367">
      <w:bodyDiv w:val="1"/>
      <w:marLeft w:val="0"/>
      <w:marRight w:val="0"/>
      <w:marTop w:val="0"/>
      <w:marBottom w:val="0"/>
      <w:divBdr>
        <w:top w:val="none" w:sz="0" w:space="0" w:color="auto"/>
        <w:left w:val="none" w:sz="0" w:space="0" w:color="auto"/>
        <w:bottom w:val="none" w:sz="0" w:space="0" w:color="auto"/>
        <w:right w:val="none" w:sz="0" w:space="0" w:color="auto"/>
      </w:divBdr>
    </w:div>
    <w:div w:id="732199400">
      <w:bodyDiv w:val="1"/>
      <w:marLeft w:val="0"/>
      <w:marRight w:val="0"/>
      <w:marTop w:val="0"/>
      <w:marBottom w:val="0"/>
      <w:divBdr>
        <w:top w:val="none" w:sz="0" w:space="0" w:color="auto"/>
        <w:left w:val="none" w:sz="0" w:space="0" w:color="auto"/>
        <w:bottom w:val="none" w:sz="0" w:space="0" w:color="auto"/>
        <w:right w:val="none" w:sz="0" w:space="0" w:color="auto"/>
      </w:divBdr>
    </w:div>
    <w:div w:id="894661103">
      <w:bodyDiv w:val="1"/>
      <w:marLeft w:val="0"/>
      <w:marRight w:val="0"/>
      <w:marTop w:val="0"/>
      <w:marBottom w:val="0"/>
      <w:divBdr>
        <w:top w:val="none" w:sz="0" w:space="0" w:color="auto"/>
        <w:left w:val="none" w:sz="0" w:space="0" w:color="auto"/>
        <w:bottom w:val="none" w:sz="0" w:space="0" w:color="auto"/>
        <w:right w:val="none" w:sz="0" w:space="0" w:color="auto"/>
      </w:divBdr>
    </w:div>
    <w:div w:id="1216695133">
      <w:bodyDiv w:val="1"/>
      <w:marLeft w:val="0"/>
      <w:marRight w:val="0"/>
      <w:marTop w:val="0"/>
      <w:marBottom w:val="0"/>
      <w:divBdr>
        <w:top w:val="none" w:sz="0" w:space="0" w:color="auto"/>
        <w:left w:val="none" w:sz="0" w:space="0" w:color="auto"/>
        <w:bottom w:val="none" w:sz="0" w:space="0" w:color="auto"/>
        <w:right w:val="none" w:sz="0" w:space="0" w:color="auto"/>
      </w:divBdr>
    </w:div>
    <w:div w:id="1223832626">
      <w:bodyDiv w:val="1"/>
      <w:marLeft w:val="0"/>
      <w:marRight w:val="0"/>
      <w:marTop w:val="0"/>
      <w:marBottom w:val="0"/>
      <w:divBdr>
        <w:top w:val="none" w:sz="0" w:space="0" w:color="auto"/>
        <w:left w:val="none" w:sz="0" w:space="0" w:color="auto"/>
        <w:bottom w:val="none" w:sz="0" w:space="0" w:color="auto"/>
        <w:right w:val="none" w:sz="0" w:space="0" w:color="auto"/>
      </w:divBdr>
    </w:div>
    <w:div w:id="1524899571">
      <w:bodyDiv w:val="1"/>
      <w:marLeft w:val="0"/>
      <w:marRight w:val="0"/>
      <w:marTop w:val="0"/>
      <w:marBottom w:val="0"/>
      <w:divBdr>
        <w:top w:val="none" w:sz="0" w:space="0" w:color="auto"/>
        <w:left w:val="none" w:sz="0" w:space="0" w:color="auto"/>
        <w:bottom w:val="none" w:sz="0" w:space="0" w:color="auto"/>
        <w:right w:val="none" w:sz="0" w:space="0" w:color="auto"/>
      </w:divBdr>
    </w:div>
    <w:div w:id="156942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455</Words>
  <Characters>2596</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金融商品取引法第149条</vt:lpstr>
      <vt:lpstr>金融商品取引法第149条</vt:lpstr>
    </vt:vector>
  </TitlesOfParts>
  <Manager/>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金融商品取引法第149条</dc:title>
  <dc:subject/>
  <dc:creator/>
  <cp:keywords/>
  <dc:description/>
  <cp:lastModifiedBy/>
  <cp:revision>1</cp:revision>
  <dcterms:created xsi:type="dcterms:W3CDTF">2024-10-04T02:51:00Z</dcterms:created>
  <dcterms:modified xsi:type="dcterms:W3CDTF">2024-10-04T02:51:00Z</dcterms:modified>
</cp:coreProperties>
</file>